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3BC7" w14:textId="11FECC77" w:rsidR="00A45CA8" w:rsidRPr="002713B7" w:rsidRDefault="00834982" w:rsidP="00A45CA8">
      <w:pPr>
        <w:pStyle w:val="NormalWeb"/>
        <w:rPr>
          <w:rFonts w:ascii="Candara" w:hAnsi="Candara"/>
          <w:b/>
          <w:bCs/>
          <w:color w:val="02337A"/>
          <w:sz w:val="28"/>
          <w:szCs w:val="28"/>
        </w:rPr>
      </w:pPr>
      <w:bookmarkStart w:id="0" w:name="_GoBack"/>
      <w:bookmarkEnd w:id="0"/>
      <w:r w:rsidRPr="002713B7">
        <w:rPr>
          <w:rFonts w:ascii="Candara" w:hAnsi="Candara"/>
          <w:b/>
          <w:bCs/>
          <w:noProof/>
          <w:color w:val="02337A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7FDCEBE4" wp14:editId="2A09E330">
            <wp:simplePos x="0" y="0"/>
            <wp:positionH relativeFrom="column">
              <wp:posOffset>-361950</wp:posOffset>
            </wp:positionH>
            <wp:positionV relativeFrom="paragraph">
              <wp:posOffset>123825</wp:posOffset>
            </wp:positionV>
            <wp:extent cx="2519680" cy="633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3B7">
        <w:rPr>
          <w:rFonts w:ascii="Candara" w:hAnsi="Candara"/>
          <w:b/>
          <w:bCs/>
          <w:noProof/>
          <w:color w:val="02337A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E40A6E" wp14:editId="7E9EB81B">
            <wp:simplePos x="0" y="0"/>
            <wp:positionH relativeFrom="column">
              <wp:posOffset>2157730</wp:posOffset>
            </wp:positionH>
            <wp:positionV relativeFrom="paragraph">
              <wp:posOffset>198120</wp:posOffset>
            </wp:positionV>
            <wp:extent cx="933450" cy="422275"/>
            <wp:effectExtent l="0" t="0" r="0" b="0"/>
            <wp:wrapNone/>
            <wp:docPr id="1032" name="Picture 1031">
              <a:extLst xmlns:a="http://schemas.openxmlformats.org/drawingml/2006/main">
                <a:ext uri="{FF2B5EF4-FFF2-40B4-BE49-F238E27FC236}">
                  <a16:creationId xmlns:a16="http://schemas.microsoft.com/office/drawing/2014/main" id="{5A34DCC1-07DC-4ED2-8FF7-5045BA2ACB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1">
                      <a:extLst>
                        <a:ext uri="{FF2B5EF4-FFF2-40B4-BE49-F238E27FC236}">
                          <a16:creationId xmlns:a16="http://schemas.microsoft.com/office/drawing/2014/main" id="{5A34DCC1-07DC-4ED2-8FF7-5045BA2ACBF8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018" r="-6635" b="-1"/>
                    <a:stretch/>
                  </pic:blipFill>
                  <pic:spPr bwMode="auto">
                    <a:xfrm>
                      <a:off x="0" y="0"/>
                      <a:ext cx="9334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13B7">
        <w:rPr>
          <w:rFonts w:ascii="Candara" w:hAnsi="Candara"/>
          <w:b/>
          <w:bCs/>
          <w:noProof/>
          <w:color w:val="02337A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501CA2E" wp14:editId="672E8484">
            <wp:simplePos x="0" y="0"/>
            <wp:positionH relativeFrom="column">
              <wp:posOffset>3219450</wp:posOffset>
            </wp:positionH>
            <wp:positionV relativeFrom="paragraph">
              <wp:posOffset>238125</wp:posOffset>
            </wp:positionV>
            <wp:extent cx="1115695" cy="333375"/>
            <wp:effectExtent l="0" t="0" r="8255" b="9525"/>
            <wp:wrapNone/>
            <wp:docPr id="1034" name="Picture 1033">
              <a:extLst xmlns:a="http://schemas.openxmlformats.org/drawingml/2006/main">
                <a:ext uri="{FF2B5EF4-FFF2-40B4-BE49-F238E27FC236}">
                  <a16:creationId xmlns:a16="http://schemas.microsoft.com/office/drawing/2014/main" id="{7057AD44-FBE8-4460-9267-F89EF0BBA3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33">
                      <a:extLst>
                        <a:ext uri="{FF2B5EF4-FFF2-40B4-BE49-F238E27FC236}">
                          <a16:creationId xmlns:a16="http://schemas.microsoft.com/office/drawing/2014/main" id="{7057AD44-FBE8-4460-9267-F89EF0BBA3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3B7">
        <w:rPr>
          <w:rFonts w:ascii="Candara" w:hAnsi="Candara"/>
          <w:b/>
          <w:bCs/>
          <w:noProof/>
          <w:color w:val="02337A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F983D2D" wp14:editId="678151DD">
            <wp:simplePos x="0" y="0"/>
            <wp:positionH relativeFrom="column">
              <wp:posOffset>4438650</wp:posOffset>
            </wp:positionH>
            <wp:positionV relativeFrom="paragraph">
              <wp:posOffset>228600</wp:posOffset>
            </wp:positionV>
            <wp:extent cx="1390650" cy="352425"/>
            <wp:effectExtent l="0" t="0" r="0" b="9525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0D15CCA-CF8B-4400-8ECE-39C9C8BC0B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0D15CCA-CF8B-4400-8ECE-39C9C8BC0B3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CA8" w:rsidRPr="002713B7">
        <w:rPr>
          <w:rFonts w:ascii="Candara" w:hAnsi="Candara"/>
          <w:b/>
          <w:bCs/>
          <w:color w:val="02337A"/>
          <w:sz w:val="28"/>
          <w:szCs w:val="28"/>
        </w:rPr>
        <w:t xml:space="preserve"> </w:t>
      </w:r>
    </w:p>
    <w:p w14:paraId="416716DC" w14:textId="77777777" w:rsidR="00A45CA8" w:rsidRPr="002713B7" w:rsidRDefault="00A45CA8" w:rsidP="00A45CA8">
      <w:pPr>
        <w:pStyle w:val="NormalWeb"/>
        <w:rPr>
          <w:rFonts w:ascii="Candara" w:hAnsi="Candara"/>
          <w:b/>
          <w:bCs/>
          <w:color w:val="02337A"/>
          <w:sz w:val="28"/>
          <w:szCs w:val="28"/>
        </w:rPr>
      </w:pPr>
    </w:p>
    <w:p w14:paraId="2AE4E066" w14:textId="7AEE1C15" w:rsidR="00A45CA8" w:rsidRPr="002713B7" w:rsidRDefault="00CE4663" w:rsidP="00A45CA8">
      <w:pPr>
        <w:pStyle w:val="NormalWeb"/>
        <w:rPr>
          <w:rFonts w:ascii="Candara" w:hAnsi="Candara"/>
          <w:b/>
          <w:bCs/>
          <w:color w:val="02337A"/>
        </w:rPr>
      </w:pPr>
      <w:bookmarkStart w:id="1" w:name="_Hlk53673856"/>
      <w:r w:rsidRPr="002713B7">
        <w:rPr>
          <w:rFonts w:ascii="Candara" w:hAnsi="Candara"/>
          <w:b/>
          <w:bCs/>
          <w:color w:val="02337A"/>
          <w:sz w:val="32"/>
          <w:szCs w:val="32"/>
        </w:rPr>
        <w:t>Neuroimmunology</w:t>
      </w:r>
      <w:r w:rsidR="00A45CA8" w:rsidRPr="002713B7">
        <w:rPr>
          <w:rFonts w:ascii="Candara" w:hAnsi="Candara"/>
          <w:b/>
          <w:bCs/>
          <w:color w:val="02337A"/>
          <w:sz w:val="32"/>
          <w:szCs w:val="32"/>
        </w:rPr>
        <w:t xml:space="preserve"> and </w:t>
      </w:r>
      <w:r w:rsidRPr="002713B7">
        <w:rPr>
          <w:rFonts w:ascii="Candara" w:hAnsi="Candara"/>
          <w:b/>
          <w:bCs/>
          <w:color w:val="02337A"/>
          <w:sz w:val="32"/>
          <w:szCs w:val="32"/>
        </w:rPr>
        <w:t>CAR-T</w:t>
      </w:r>
      <w:r w:rsidR="00A45CA8" w:rsidRPr="002713B7">
        <w:rPr>
          <w:rFonts w:ascii="Candara" w:hAnsi="Candara"/>
          <w:b/>
          <w:bCs/>
          <w:color w:val="02337A"/>
          <w:sz w:val="32"/>
          <w:szCs w:val="32"/>
        </w:rPr>
        <w:t xml:space="preserve"> Fellowship</w:t>
      </w:r>
      <w:r w:rsidRPr="002713B7">
        <w:rPr>
          <w:rFonts w:ascii="Candara" w:hAnsi="Candara"/>
          <w:b/>
          <w:bCs/>
          <w:color w:val="02337A"/>
          <w:sz w:val="32"/>
          <w:szCs w:val="32"/>
        </w:rPr>
        <w:t>s</w:t>
      </w:r>
    </w:p>
    <w:p w14:paraId="298160CE" w14:textId="704E046E" w:rsidR="00A45CA8" w:rsidRPr="002713B7" w:rsidRDefault="00A45CA8" w:rsidP="00A45CA8">
      <w:pPr>
        <w:pStyle w:val="NormalWeb"/>
        <w:rPr>
          <w:sz w:val="22"/>
          <w:szCs w:val="22"/>
        </w:rPr>
      </w:pPr>
      <w:r w:rsidRPr="002713B7">
        <w:rPr>
          <w:rFonts w:ascii="Candara" w:hAnsi="Candara"/>
          <w:b/>
          <w:bCs/>
          <w:color w:val="02337A"/>
          <w:sz w:val="22"/>
          <w:szCs w:val="22"/>
        </w:rPr>
        <w:t xml:space="preserve">Royal Melbourne Hospital </w:t>
      </w:r>
      <w:r w:rsidR="005E3CE7" w:rsidRPr="002713B7">
        <w:rPr>
          <w:rFonts w:ascii="Candara" w:hAnsi="Candara"/>
          <w:b/>
          <w:bCs/>
          <w:color w:val="02337A"/>
          <w:sz w:val="22"/>
          <w:szCs w:val="22"/>
        </w:rPr>
        <w:t>Neuroimmunology</w:t>
      </w:r>
      <w:r w:rsidRPr="002713B7">
        <w:rPr>
          <w:rFonts w:ascii="Candara" w:hAnsi="Candara"/>
          <w:b/>
          <w:bCs/>
          <w:color w:val="02337A"/>
          <w:sz w:val="22"/>
          <w:szCs w:val="22"/>
        </w:rPr>
        <w:t xml:space="preserve"> </w:t>
      </w:r>
      <w:r w:rsidR="005E3CE7" w:rsidRPr="002713B7">
        <w:rPr>
          <w:rFonts w:ascii="Candara" w:hAnsi="Candara"/>
          <w:b/>
          <w:bCs/>
          <w:color w:val="02337A"/>
          <w:sz w:val="22"/>
          <w:szCs w:val="22"/>
        </w:rPr>
        <w:t xml:space="preserve">program </w:t>
      </w:r>
      <w:r w:rsidRPr="002713B7">
        <w:rPr>
          <w:rFonts w:ascii="Candara" w:hAnsi="Candara"/>
          <w:b/>
          <w:bCs/>
          <w:color w:val="02337A"/>
          <w:sz w:val="22"/>
          <w:szCs w:val="22"/>
        </w:rPr>
        <w:t xml:space="preserve">in collaboration with Peter MacCallum Cancer Centre </w:t>
      </w:r>
    </w:p>
    <w:p w14:paraId="636B77B4" w14:textId="5D5BDF04" w:rsidR="00A45CA8" w:rsidRPr="002713B7" w:rsidRDefault="00A45CA8" w:rsidP="002713B7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 xml:space="preserve">The Royal Melbourne Hospital </w:t>
      </w:r>
      <w:r w:rsidR="00CE4663" w:rsidRPr="002713B7">
        <w:rPr>
          <w:rFonts w:ascii="Candara" w:hAnsi="Candara"/>
          <w:sz w:val="22"/>
          <w:szCs w:val="22"/>
        </w:rPr>
        <w:t>Neuroimmunology</w:t>
      </w:r>
      <w:r w:rsidRPr="002713B7">
        <w:rPr>
          <w:rFonts w:ascii="Candara" w:hAnsi="Candara"/>
          <w:sz w:val="22"/>
          <w:szCs w:val="22"/>
        </w:rPr>
        <w:t xml:space="preserve"> Centre </w:t>
      </w:r>
      <w:r w:rsidR="00D17863" w:rsidRPr="002713B7">
        <w:rPr>
          <w:rFonts w:ascii="Candara" w:hAnsi="Candara"/>
          <w:sz w:val="22"/>
          <w:szCs w:val="22"/>
        </w:rPr>
        <w:t>is offering two 1-year fellowships in multiple sclerosis</w:t>
      </w:r>
      <w:r w:rsidR="00834982" w:rsidRPr="002713B7">
        <w:rPr>
          <w:rFonts w:ascii="Candara" w:hAnsi="Candara"/>
          <w:sz w:val="22"/>
          <w:szCs w:val="22"/>
        </w:rPr>
        <w:t xml:space="preserve"> –</w:t>
      </w:r>
      <w:r w:rsidR="00C5198E" w:rsidRPr="002713B7">
        <w:rPr>
          <w:rFonts w:ascii="Candara" w:hAnsi="Candara"/>
          <w:sz w:val="22"/>
          <w:szCs w:val="22"/>
        </w:rPr>
        <w:t xml:space="preserve"> </w:t>
      </w:r>
      <w:r w:rsidR="00834982" w:rsidRPr="002713B7">
        <w:rPr>
          <w:rFonts w:ascii="Candara" w:hAnsi="Candara"/>
          <w:sz w:val="22"/>
          <w:szCs w:val="22"/>
        </w:rPr>
        <w:t xml:space="preserve">with focus on </w:t>
      </w:r>
      <w:r w:rsidR="006F316E" w:rsidRPr="002713B7">
        <w:rPr>
          <w:rFonts w:ascii="Candara" w:hAnsi="Candara"/>
          <w:sz w:val="22"/>
          <w:szCs w:val="22"/>
        </w:rPr>
        <w:t xml:space="preserve">(i) </w:t>
      </w:r>
      <w:r w:rsidR="00834982" w:rsidRPr="002713B7">
        <w:rPr>
          <w:rFonts w:ascii="Candara" w:hAnsi="Candara"/>
          <w:sz w:val="22"/>
          <w:szCs w:val="22"/>
        </w:rPr>
        <w:t>MS &amp;</w:t>
      </w:r>
      <w:r w:rsidR="00D17863" w:rsidRPr="002713B7">
        <w:rPr>
          <w:rFonts w:ascii="Candara" w:hAnsi="Candara"/>
          <w:sz w:val="22"/>
          <w:szCs w:val="22"/>
        </w:rPr>
        <w:t xml:space="preserve"> neuroimmunology </w:t>
      </w:r>
      <w:r w:rsidR="006F316E" w:rsidRPr="002713B7">
        <w:rPr>
          <w:rFonts w:ascii="Candara" w:hAnsi="Candara"/>
          <w:sz w:val="22"/>
          <w:szCs w:val="22"/>
        </w:rPr>
        <w:t>or (ii)</w:t>
      </w:r>
      <w:r w:rsidR="00834982" w:rsidRPr="002713B7">
        <w:rPr>
          <w:rFonts w:ascii="Candara" w:hAnsi="Candara"/>
          <w:sz w:val="22"/>
          <w:szCs w:val="22"/>
        </w:rPr>
        <w:t xml:space="preserve"> MS &amp; </w:t>
      </w:r>
      <w:r w:rsidR="00D17863" w:rsidRPr="002713B7">
        <w:rPr>
          <w:rFonts w:ascii="Candara" w:hAnsi="Candara"/>
          <w:sz w:val="22"/>
          <w:szCs w:val="22"/>
        </w:rPr>
        <w:t>CAR-T</w:t>
      </w:r>
      <w:r w:rsidR="00834982" w:rsidRPr="002713B7">
        <w:rPr>
          <w:rFonts w:ascii="Candara" w:hAnsi="Candara"/>
          <w:sz w:val="22"/>
          <w:szCs w:val="22"/>
        </w:rPr>
        <w:t xml:space="preserve"> cell therapy</w:t>
      </w:r>
      <w:r w:rsidR="00D17863" w:rsidRPr="002713B7">
        <w:rPr>
          <w:rFonts w:ascii="Candara" w:hAnsi="Candara"/>
          <w:sz w:val="22"/>
          <w:szCs w:val="22"/>
        </w:rPr>
        <w:t xml:space="preserve">. The latter is offered in </w:t>
      </w:r>
      <w:r w:rsidRPr="002713B7">
        <w:rPr>
          <w:rFonts w:ascii="Candara" w:hAnsi="Candara"/>
          <w:sz w:val="22"/>
          <w:szCs w:val="22"/>
        </w:rPr>
        <w:t xml:space="preserve">collaboration with </w:t>
      </w:r>
      <w:r w:rsidR="008E1A15" w:rsidRPr="002713B7">
        <w:rPr>
          <w:rFonts w:ascii="Candara" w:hAnsi="Candara"/>
          <w:sz w:val="22"/>
          <w:szCs w:val="22"/>
        </w:rPr>
        <w:t xml:space="preserve">the </w:t>
      </w:r>
      <w:r w:rsidRPr="002713B7">
        <w:rPr>
          <w:rFonts w:ascii="Candara" w:hAnsi="Candara"/>
          <w:sz w:val="22"/>
          <w:szCs w:val="22"/>
        </w:rPr>
        <w:t>Peter MacCallum Cancer Centre</w:t>
      </w:r>
      <w:r w:rsidR="008E1A15" w:rsidRPr="002713B7">
        <w:rPr>
          <w:rFonts w:ascii="Candara" w:hAnsi="Candara"/>
          <w:sz w:val="22"/>
          <w:szCs w:val="22"/>
        </w:rPr>
        <w:t xml:space="preserve"> (PMCC)</w:t>
      </w:r>
      <w:r w:rsidRPr="002713B7">
        <w:rPr>
          <w:rFonts w:ascii="Candara" w:hAnsi="Candara"/>
          <w:sz w:val="22"/>
          <w:szCs w:val="22"/>
        </w:rPr>
        <w:t>. The position</w:t>
      </w:r>
      <w:r w:rsidR="00D17863" w:rsidRPr="002713B7">
        <w:rPr>
          <w:rFonts w:ascii="Candara" w:hAnsi="Candara"/>
          <w:sz w:val="22"/>
          <w:szCs w:val="22"/>
        </w:rPr>
        <w:t>s</w:t>
      </w:r>
      <w:r w:rsidRPr="002713B7">
        <w:rPr>
          <w:rFonts w:ascii="Candara" w:hAnsi="Candara"/>
          <w:sz w:val="22"/>
          <w:szCs w:val="22"/>
        </w:rPr>
        <w:t xml:space="preserve"> </w:t>
      </w:r>
      <w:r w:rsidR="00D17863" w:rsidRPr="002713B7">
        <w:rPr>
          <w:rFonts w:ascii="Candara" w:hAnsi="Candara"/>
          <w:sz w:val="22"/>
          <w:szCs w:val="22"/>
        </w:rPr>
        <w:t>are</w:t>
      </w:r>
      <w:r w:rsidRPr="002713B7">
        <w:rPr>
          <w:rFonts w:ascii="Candara" w:hAnsi="Candara"/>
          <w:sz w:val="22"/>
          <w:szCs w:val="22"/>
        </w:rPr>
        <w:t xml:space="preserve"> accredited by the Royal Australian College of Physicians as non-core training in neurology. </w:t>
      </w:r>
    </w:p>
    <w:p w14:paraId="5F79663A" w14:textId="57C94742" w:rsidR="005E3CE7" w:rsidRPr="002713B7" w:rsidRDefault="00A45CA8" w:rsidP="002713B7">
      <w:pPr>
        <w:pStyle w:val="Normal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 xml:space="preserve">The Royal Melbourne Hospital </w:t>
      </w:r>
      <w:r w:rsidR="00D17863" w:rsidRPr="002713B7">
        <w:rPr>
          <w:rFonts w:ascii="Candara" w:hAnsi="Candara"/>
          <w:sz w:val="22"/>
          <w:szCs w:val="22"/>
        </w:rPr>
        <w:t>Neuroimmunology</w:t>
      </w:r>
      <w:r w:rsidRPr="002713B7">
        <w:rPr>
          <w:rFonts w:ascii="Candara" w:hAnsi="Candara"/>
          <w:sz w:val="22"/>
          <w:szCs w:val="22"/>
        </w:rPr>
        <w:t xml:space="preserve"> </w:t>
      </w:r>
      <w:r w:rsidR="007E32E1" w:rsidRPr="002713B7">
        <w:rPr>
          <w:rFonts w:ascii="Candara" w:hAnsi="Candara"/>
          <w:sz w:val="22"/>
          <w:szCs w:val="22"/>
        </w:rPr>
        <w:t>is</w:t>
      </w:r>
      <w:r w:rsidRPr="002713B7">
        <w:rPr>
          <w:rFonts w:ascii="Candara" w:hAnsi="Candara"/>
          <w:sz w:val="22"/>
          <w:szCs w:val="22"/>
        </w:rPr>
        <w:t xml:space="preserve"> a</w:t>
      </w:r>
      <w:r w:rsidR="00C5198E" w:rsidRPr="002713B7">
        <w:rPr>
          <w:rFonts w:ascii="Candara" w:hAnsi="Candara"/>
          <w:sz w:val="22"/>
          <w:szCs w:val="22"/>
        </w:rPr>
        <w:t>n</w:t>
      </w:r>
      <w:r w:rsidRPr="002713B7">
        <w:rPr>
          <w:rFonts w:ascii="Candara" w:hAnsi="Candara"/>
          <w:sz w:val="22"/>
          <w:szCs w:val="22"/>
        </w:rPr>
        <w:t xml:space="preserve"> academic and clinical program </w:t>
      </w:r>
      <w:r w:rsidR="005E3CE7" w:rsidRPr="002713B7">
        <w:rPr>
          <w:rFonts w:ascii="Candara" w:hAnsi="Candara"/>
          <w:sz w:val="22"/>
          <w:szCs w:val="22"/>
        </w:rPr>
        <w:t xml:space="preserve">providing care for over 1200 patients with a broad spectrum of neuroimmunological conditions. </w:t>
      </w:r>
      <w:r w:rsidR="007E32E1" w:rsidRPr="002713B7">
        <w:rPr>
          <w:rFonts w:ascii="Candara" w:hAnsi="Candara"/>
          <w:sz w:val="22"/>
          <w:szCs w:val="22"/>
        </w:rPr>
        <w:t>Our</w:t>
      </w:r>
      <w:r w:rsidR="005E3CE7" w:rsidRPr="002713B7">
        <w:rPr>
          <w:rFonts w:ascii="Candara" w:hAnsi="Candara"/>
          <w:sz w:val="22"/>
          <w:szCs w:val="22"/>
        </w:rPr>
        <w:t xml:space="preserve"> team consists of</w:t>
      </w:r>
      <w:r w:rsidRPr="002713B7">
        <w:rPr>
          <w:rFonts w:ascii="Candara" w:hAnsi="Candara"/>
          <w:sz w:val="22"/>
          <w:szCs w:val="22"/>
        </w:rPr>
        <w:t xml:space="preserve"> </w:t>
      </w:r>
      <w:r w:rsidR="00D17863" w:rsidRPr="002713B7">
        <w:rPr>
          <w:rFonts w:ascii="Candara" w:hAnsi="Candara"/>
          <w:sz w:val="22"/>
          <w:szCs w:val="22"/>
        </w:rPr>
        <w:t>9</w:t>
      </w:r>
      <w:r w:rsidRPr="002713B7">
        <w:rPr>
          <w:rFonts w:ascii="Candara" w:hAnsi="Candara"/>
          <w:sz w:val="22"/>
          <w:szCs w:val="22"/>
        </w:rPr>
        <w:t xml:space="preserve"> neurologists, 2 neurology fellows, registrar, neuropsychologist, 2 neuropsychology fellows, 1 neuropsychiatry </w:t>
      </w:r>
      <w:r w:rsidR="005E3CE7" w:rsidRPr="002713B7">
        <w:rPr>
          <w:rFonts w:ascii="Candara" w:hAnsi="Candara"/>
          <w:sz w:val="22"/>
          <w:szCs w:val="22"/>
        </w:rPr>
        <w:t>trainee</w:t>
      </w:r>
      <w:r w:rsidRPr="002713B7">
        <w:rPr>
          <w:rFonts w:ascii="Candara" w:hAnsi="Candara"/>
          <w:sz w:val="22"/>
          <w:szCs w:val="22"/>
        </w:rPr>
        <w:t xml:space="preserve">, 4 research nurse coordinators, </w:t>
      </w:r>
      <w:r w:rsidR="005E3CE7" w:rsidRPr="002713B7">
        <w:rPr>
          <w:rFonts w:ascii="Candara" w:hAnsi="Candara"/>
          <w:sz w:val="22"/>
          <w:szCs w:val="22"/>
        </w:rPr>
        <w:t xml:space="preserve">and visiting </w:t>
      </w:r>
      <w:r w:rsidRPr="002713B7">
        <w:rPr>
          <w:rFonts w:ascii="Candara" w:hAnsi="Candara"/>
          <w:sz w:val="22"/>
          <w:szCs w:val="22"/>
        </w:rPr>
        <w:t xml:space="preserve">physiotherapist and social worker. </w:t>
      </w:r>
      <w:r w:rsidR="005E080D" w:rsidRPr="002713B7">
        <w:rPr>
          <w:rFonts w:ascii="Candara" w:hAnsi="Candara"/>
          <w:sz w:val="22"/>
          <w:szCs w:val="22"/>
        </w:rPr>
        <w:t xml:space="preserve">The program includes laboratory, clinical, applied and outcome research streams. </w:t>
      </w:r>
      <w:r w:rsidRPr="002713B7">
        <w:rPr>
          <w:rFonts w:ascii="Candara" w:hAnsi="Candara"/>
          <w:sz w:val="22"/>
          <w:szCs w:val="22"/>
        </w:rPr>
        <w:t xml:space="preserve">The Cellular Therapies Program at the </w:t>
      </w:r>
      <w:r w:rsidR="008E1A15" w:rsidRPr="002713B7">
        <w:rPr>
          <w:rFonts w:ascii="Candara" w:hAnsi="Candara"/>
          <w:sz w:val="22"/>
          <w:szCs w:val="22"/>
        </w:rPr>
        <w:t xml:space="preserve">PMCC </w:t>
      </w:r>
      <w:r w:rsidRPr="002713B7">
        <w:rPr>
          <w:rFonts w:ascii="Candara" w:hAnsi="Candara"/>
          <w:sz w:val="22"/>
          <w:szCs w:val="22"/>
        </w:rPr>
        <w:t xml:space="preserve">is the largest program in Victoria offering CAR T-Cell </w:t>
      </w:r>
      <w:r w:rsidR="007E32E1" w:rsidRPr="002713B7">
        <w:rPr>
          <w:rFonts w:ascii="Candara" w:hAnsi="Candara"/>
          <w:sz w:val="22"/>
          <w:szCs w:val="22"/>
        </w:rPr>
        <w:t>t</w:t>
      </w:r>
      <w:r w:rsidRPr="002713B7">
        <w:rPr>
          <w:rFonts w:ascii="Candara" w:hAnsi="Candara"/>
          <w:sz w:val="22"/>
          <w:szCs w:val="22"/>
        </w:rPr>
        <w:t xml:space="preserve">herapy. </w:t>
      </w:r>
      <w:r w:rsidR="00C5198E" w:rsidRPr="002713B7">
        <w:rPr>
          <w:rFonts w:ascii="Candara" w:hAnsi="Candara"/>
          <w:sz w:val="22"/>
          <w:szCs w:val="22"/>
        </w:rPr>
        <w:t xml:space="preserve">In collaboration, the two programs are </w:t>
      </w:r>
      <w:r w:rsidR="005E3CE7" w:rsidRPr="002713B7">
        <w:rPr>
          <w:rFonts w:ascii="Candara" w:hAnsi="Candara"/>
          <w:sz w:val="22"/>
          <w:szCs w:val="22"/>
        </w:rPr>
        <w:t>develop</w:t>
      </w:r>
      <w:r w:rsidR="00C5198E" w:rsidRPr="002713B7">
        <w:rPr>
          <w:rFonts w:ascii="Candara" w:hAnsi="Candara"/>
          <w:sz w:val="22"/>
          <w:szCs w:val="22"/>
        </w:rPr>
        <w:t>ing</w:t>
      </w:r>
      <w:r w:rsidR="005E3CE7" w:rsidRPr="002713B7">
        <w:rPr>
          <w:rFonts w:ascii="Candara" w:hAnsi="Candara"/>
          <w:sz w:val="22"/>
          <w:szCs w:val="22"/>
        </w:rPr>
        <w:t xml:space="preserve"> </w:t>
      </w:r>
      <w:r w:rsidR="008E1A15" w:rsidRPr="002713B7">
        <w:rPr>
          <w:rFonts w:ascii="Candara" w:hAnsi="Candara"/>
          <w:sz w:val="22"/>
          <w:szCs w:val="22"/>
        </w:rPr>
        <w:t xml:space="preserve">a </w:t>
      </w:r>
      <w:r w:rsidR="00C5198E" w:rsidRPr="002713B7">
        <w:rPr>
          <w:rFonts w:ascii="Candara" w:hAnsi="Candara"/>
          <w:sz w:val="22"/>
          <w:szCs w:val="22"/>
        </w:rPr>
        <w:t xml:space="preserve">framework for </w:t>
      </w:r>
      <w:r w:rsidR="005E3CE7" w:rsidRPr="002713B7">
        <w:rPr>
          <w:rFonts w:ascii="Candara" w:hAnsi="Candara"/>
          <w:sz w:val="22"/>
          <w:szCs w:val="22"/>
        </w:rPr>
        <w:t xml:space="preserve">neurological </w:t>
      </w:r>
      <w:r w:rsidR="00C5198E" w:rsidRPr="002713B7">
        <w:rPr>
          <w:rFonts w:ascii="Candara" w:hAnsi="Candara"/>
          <w:sz w:val="22"/>
          <w:szCs w:val="22"/>
        </w:rPr>
        <w:t xml:space="preserve">and cognitive </w:t>
      </w:r>
      <w:r w:rsidR="005E3CE7" w:rsidRPr="002713B7">
        <w:rPr>
          <w:rFonts w:ascii="Candara" w:hAnsi="Candara"/>
          <w:sz w:val="22"/>
          <w:szCs w:val="22"/>
        </w:rPr>
        <w:t>surveillance among patients undergoing CAR T-Cell therapy.</w:t>
      </w:r>
    </w:p>
    <w:p w14:paraId="79DC5B3C" w14:textId="6B0A1B0B" w:rsidR="007E32E1" w:rsidRPr="002713B7" w:rsidRDefault="00ED6816" w:rsidP="002713B7">
      <w:pPr>
        <w:pStyle w:val="Normal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>The</w:t>
      </w:r>
      <w:r w:rsidR="00A81E78" w:rsidRPr="002713B7">
        <w:rPr>
          <w:rFonts w:ascii="Candara" w:hAnsi="Candara"/>
          <w:sz w:val="22"/>
          <w:szCs w:val="22"/>
        </w:rPr>
        <w:t xml:space="preserve"> </w:t>
      </w:r>
      <w:r w:rsidR="007E32E1" w:rsidRPr="002713B7">
        <w:rPr>
          <w:rFonts w:ascii="Candara" w:hAnsi="Candara"/>
          <w:sz w:val="22"/>
          <w:szCs w:val="22"/>
        </w:rPr>
        <w:t>two fellowships</w:t>
      </w:r>
      <w:r w:rsidR="00A70CB0" w:rsidRPr="002713B7">
        <w:rPr>
          <w:rFonts w:ascii="Candara" w:hAnsi="Candara"/>
          <w:sz w:val="22"/>
          <w:szCs w:val="22"/>
        </w:rPr>
        <w:t xml:space="preserve"> focus </w:t>
      </w:r>
      <w:r w:rsidRPr="002713B7">
        <w:rPr>
          <w:rFonts w:ascii="Candara" w:hAnsi="Candara"/>
          <w:sz w:val="22"/>
          <w:szCs w:val="22"/>
        </w:rPr>
        <w:t xml:space="preserve">on management of </w:t>
      </w:r>
      <w:r w:rsidR="00A70CB0" w:rsidRPr="002713B7">
        <w:rPr>
          <w:rFonts w:ascii="Candara" w:hAnsi="Candara"/>
          <w:sz w:val="22"/>
          <w:szCs w:val="22"/>
        </w:rPr>
        <w:t>MS</w:t>
      </w:r>
      <w:r w:rsidRPr="002713B7">
        <w:rPr>
          <w:rFonts w:ascii="Candara" w:hAnsi="Candara"/>
          <w:sz w:val="22"/>
          <w:szCs w:val="22"/>
        </w:rPr>
        <w:t xml:space="preserve"> and one of the focus areas: </w:t>
      </w:r>
      <w:r w:rsidR="00A70CB0" w:rsidRPr="002713B7">
        <w:rPr>
          <w:rFonts w:ascii="Candara" w:hAnsi="Candara"/>
          <w:sz w:val="22"/>
          <w:szCs w:val="22"/>
        </w:rPr>
        <w:t xml:space="preserve"> </w:t>
      </w:r>
      <w:r w:rsidRPr="002713B7">
        <w:rPr>
          <w:rFonts w:ascii="Candara" w:hAnsi="Candara"/>
          <w:sz w:val="22"/>
          <w:szCs w:val="22"/>
        </w:rPr>
        <w:t xml:space="preserve">clinical </w:t>
      </w:r>
      <w:r w:rsidR="00A70CB0" w:rsidRPr="002713B7">
        <w:rPr>
          <w:rFonts w:ascii="Candara" w:hAnsi="Candara"/>
          <w:sz w:val="22"/>
          <w:szCs w:val="22"/>
        </w:rPr>
        <w:t>neuroimmunology</w:t>
      </w:r>
      <w:r w:rsidR="00A45CA8" w:rsidRPr="002713B7">
        <w:rPr>
          <w:rFonts w:ascii="Candara" w:hAnsi="Candara"/>
          <w:sz w:val="22"/>
          <w:szCs w:val="22"/>
        </w:rPr>
        <w:t xml:space="preserve"> </w:t>
      </w:r>
      <w:r w:rsidRPr="002713B7">
        <w:rPr>
          <w:rFonts w:ascii="Candara" w:hAnsi="Candara"/>
          <w:sz w:val="22"/>
          <w:szCs w:val="22"/>
        </w:rPr>
        <w:t>or</w:t>
      </w:r>
      <w:r w:rsidR="00A45CA8" w:rsidRPr="002713B7">
        <w:rPr>
          <w:rFonts w:ascii="Candara" w:hAnsi="Candara"/>
          <w:sz w:val="22"/>
          <w:szCs w:val="22"/>
        </w:rPr>
        <w:t xml:space="preserve"> neurological aspects of </w:t>
      </w:r>
      <w:r w:rsidR="00A70CB0" w:rsidRPr="002713B7">
        <w:rPr>
          <w:rFonts w:ascii="Candara" w:hAnsi="Candara"/>
          <w:sz w:val="22"/>
          <w:szCs w:val="22"/>
        </w:rPr>
        <w:t>oncological conditions and therapies</w:t>
      </w:r>
      <w:r w:rsidR="00A45CA8" w:rsidRPr="002713B7">
        <w:rPr>
          <w:rFonts w:ascii="Candara" w:hAnsi="Candara"/>
          <w:sz w:val="22"/>
          <w:szCs w:val="22"/>
        </w:rPr>
        <w:t xml:space="preserve">, in particular CAR T-Cell therapy. </w:t>
      </w:r>
      <w:r w:rsidR="00A70CB0" w:rsidRPr="002713B7">
        <w:rPr>
          <w:rFonts w:ascii="Candara" w:hAnsi="Candara"/>
          <w:sz w:val="22"/>
          <w:szCs w:val="22"/>
        </w:rPr>
        <w:t>Weekly clinical load (approximately 50% of the fellowship time) consists of</w:t>
      </w:r>
      <w:r w:rsidR="00A45CA8" w:rsidRPr="002713B7">
        <w:rPr>
          <w:rFonts w:ascii="Candara" w:hAnsi="Candara"/>
          <w:sz w:val="22"/>
          <w:szCs w:val="22"/>
        </w:rPr>
        <w:t xml:space="preserve"> 1-2 MS/neuroimmunology outpatient clinics, 1 </w:t>
      </w:r>
      <w:r w:rsidR="00A70CB0" w:rsidRPr="002713B7">
        <w:rPr>
          <w:rFonts w:ascii="Candara" w:hAnsi="Candara"/>
          <w:sz w:val="22"/>
          <w:szCs w:val="22"/>
        </w:rPr>
        <w:t xml:space="preserve">general </w:t>
      </w:r>
      <w:r w:rsidR="00A45CA8" w:rsidRPr="002713B7">
        <w:rPr>
          <w:rFonts w:ascii="Candara" w:hAnsi="Candara"/>
          <w:sz w:val="22"/>
          <w:szCs w:val="22"/>
        </w:rPr>
        <w:t>neurology clinic</w:t>
      </w:r>
      <w:r w:rsidR="00A70CB0" w:rsidRPr="002713B7">
        <w:rPr>
          <w:rFonts w:ascii="Candara" w:hAnsi="Candara"/>
          <w:sz w:val="22"/>
          <w:szCs w:val="22"/>
        </w:rPr>
        <w:t xml:space="preserve">, </w:t>
      </w:r>
      <w:r w:rsidR="008E1A15" w:rsidRPr="002713B7">
        <w:rPr>
          <w:rFonts w:ascii="Candara" w:hAnsi="Candara"/>
          <w:sz w:val="22"/>
          <w:szCs w:val="22"/>
        </w:rPr>
        <w:t xml:space="preserve">and either </w:t>
      </w:r>
      <w:r w:rsidR="00A70CB0" w:rsidRPr="002713B7">
        <w:rPr>
          <w:rFonts w:ascii="Candara" w:hAnsi="Candara"/>
          <w:sz w:val="22"/>
          <w:szCs w:val="22"/>
        </w:rPr>
        <w:t>1 neurology clinic at PMCC or neuroophthalmology clinic</w:t>
      </w:r>
      <w:r w:rsidRPr="002713B7">
        <w:rPr>
          <w:rFonts w:ascii="Candara" w:hAnsi="Candara"/>
          <w:sz w:val="22"/>
          <w:szCs w:val="22"/>
        </w:rPr>
        <w:t xml:space="preserve"> at RMH</w:t>
      </w:r>
      <w:r w:rsidR="00A81E78" w:rsidRPr="002713B7">
        <w:rPr>
          <w:rFonts w:ascii="Candara" w:hAnsi="Candara"/>
          <w:sz w:val="22"/>
          <w:szCs w:val="22"/>
        </w:rPr>
        <w:t>. The fellows</w:t>
      </w:r>
      <w:r w:rsidR="00A45CA8" w:rsidRPr="002713B7">
        <w:rPr>
          <w:rFonts w:ascii="Candara" w:hAnsi="Candara"/>
          <w:sz w:val="22"/>
          <w:szCs w:val="22"/>
        </w:rPr>
        <w:t xml:space="preserve"> participate in management of </w:t>
      </w:r>
      <w:r w:rsidR="00A81E78" w:rsidRPr="002713B7">
        <w:rPr>
          <w:rFonts w:ascii="Candara" w:hAnsi="Candara"/>
          <w:sz w:val="22"/>
          <w:szCs w:val="22"/>
        </w:rPr>
        <w:t>immunotherapy</w:t>
      </w:r>
      <w:r w:rsidR="00A45CA8" w:rsidRPr="002713B7">
        <w:rPr>
          <w:rFonts w:ascii="Candara" w:hAnsi="Candara"/>
          <w:sz w:val="22"/>
          <w:szCs w:val="22"/>
        </w:rPr>
        <w:t xml:space="preserve"> in </w:t>
      </w:r>
      <w:r w:rsidR="008E1A15" w:rsidRPr="002713B7">
        <w:rPr>
          <w:rFonts w:ascii="Candara" w:hAnsi="Candara"/>
          <w:sz w:val="22"/>
          <w:szCs w:val="22"/>
        </w:rPr>
        <w:t xml:space="preserve">the </w:t>
      </w:r>
      <w:r w:rsidR="00A45CA8" w:rsidRPr="002713B7">
        <w:rPr>
          <w:rFonts w:ascii="Candara" w:hAnsi="Candara"/>
          <w:sz w:val="22"/>
          <w:szCs w:val="22"/>
        </w:rPr>
        <w:t>Day Infusion Centre (2-3 short safety infusion clinics)</w:t>
      </w:r>
      <w:r w:rsidR="00A81E78" w:rsidRPr="002713B7">
        <w:rPr>
          <w:rFonts w:ascii="Candara" w:hAnsi="Candara"/>
          <w:sz w:val="22"/>
          <w:szCs w:val="22"/>
        </w:rPr>
        <w:t>.</w:t>
      </w:r>
      <w:r w:rsidR="005E080D" w:rsidRPr="002713B7">
        <w:rPr>
          <w:rFonts w:ascii="Candara" w:hAnsi="Candara"/>
          <w:sz w:val="22"/>
          <w:szCs w:val="22"/>
        </w:rPr>
        <w:t xml:space="preserve"> </w:t>
      </w:r>
      <w:r w:rsidR="00A81E78" w:rsidRPr="002713B7">
        <w:rPr>
          <w:rFonts w:ascii="Candara" w:hAnsi="Candara"/>
          <w:sz w:val="22"/>
          <w:szCs w:val="22"/>
        </w:rPr>
        <w:t>In approximately 50% of the fellowship time, the fellows will develop and pursue research projects within our established research streams, and will receive training in neuroimmunology – oriented clinical trials.</w:t>
      </w:r>
      <w:r w:rsidR="005E080D" w:rsidRPr="002713B7">
        <w:rPr>
          <w:rFonts w:ascii="Candara" w:hAnsi="Candara"/>
          <w:sz w:val="22"/>
          <w:szCs w:val="22"/>
        </w:rPr>
        <w:t xml:space="preserve"> The available research streams include</w:t>
      </w:r>
      <w:r w:rsidR="007E32E1" w:rsidRPr="002713B7">
        <w:rPr>
          <w:rFonts w:ascii="Candara" w:hAnsi="Candara"/>
          <w:sz w:val="22"/>
          <w:szCs w:val="22"/>
        </w:rPr>
        <w:t>:</w:t>
      </w:r>
    </w:p>
    <w:p w14:paraId="33ACCCB0" w14:textId="4B02A653" w:rsidR="007E32E1" w:rsidRPr="002713B7" w:rsidRDefault="007E32E1" w:rsidP="007E32E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 xml:space="preserve">effectiveness and safety </w:t>
      </w:r>
      <w:r w:rsidR="00ED6816" w:rsidRPr="002713B7">
        <w:rPr>
          <w:rFonts w:ascii="Candara" w:hAnsi="Candara"/>
          <w:sz w:val="22"/>
          <w:szCs w:val="22"/>
        </w:rPr>
        <w:t xml:space="preserve">of </w:t>
      </w:r>
      <w:r w:rsidRPr="002713B7">
        <w:rPr>
          <w:rFonts w:ascii="Candara" w:hAnsi="Candara"/>
          <w:sz w:val="22"/>
          <w:szCs w:val="22"/>
        </w:rPr>
        <w:t>therapies for neuroimmunological conditions</w:t>
      </w:r>
    </w:p>
    <w:p w14:paraId="07354C6A" w14:textId="77777777" w:rsidR="007E32E1" w:rsidRPr="002713B7" w:rsidRDefault="007E32E1" w:rsidP="007E32E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>diagnostics of neuroimmunological conditions</w:t>
      </w:r>
    </w:p>
    <w:p w14:paraId="73564EA3" w14:textId="77777777" w:rsidR="00BE3522" w:rsidRPr="002713B7" w:rsidRDefault="00BE3522" w:rsidP="00BE352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>neurological profiling of patients undergoing CAR T-Cell therapy</w:t>
      </w:r>
    </w:p>
    <w:p w14:paraId="5113BDB9" w14:textId="77777777" w:rsidR="00BE3522" w:rsidRPr="002713B7" w:rsidRDefault="00BE3522" w:rsidP="00BE352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 xml:space="preserve">assessment of neurotoxicity in treatment of oncological diagnoses </w:t>
      </w:r>
    </w:p>
    <w:p w14:paraId="22C13522" w14:textId="77777777" w:rsidR="007E32E1" w:rsidRPr="002713B7" w:rsidRDefault="007E32E1" w:rsidP="007E32E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>objective clinical monitoring (including quantitative methods such as volumetric MRI and optical coherence tomography)</w:t>
      </w:r>
    </w:p>
    <w:p w14:paraId="69201CC9" w14:textId="2F1448FE" w:rsidR="007E32E1" w:rsidRPr="002713B7" w:rsidRDefault="007E32E1" w:rsidP="007E32E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>myelin biology</w:t>
      </w:r>
      <w:r w:rsidR="00BE3522" w:rsidRPr="002713B7">
        <w:rPr>
          <w:rFonts w:ascii="Candara" w:hAnsi="Candara"/>
          <w:sz w:val="22"/>
          <w:szCs w:val="22"/>
        </w:rPr>
        <w:t xml:space="preserve"> (in collaboration with The Florey Institute)</w:t>
      </w:r>
    </w:p>
    <w:p w14:paraId="0FFD3725" w14:textId="01EC9467" w:rsidR="007E32E1" w:rsidRPr="002713B7" w:rsidRDefault="007E32E1" w:rsidP="007E32E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>basic neuroimmunology research</w:t>
      </w:r>
      <w:r w:rsidR="00BE3522" w:rsidRPr="002713B7">
        <w:rPr>
          <w:rFonts w:ascii="Candara" w:hAnsi="Candara"/>
          <w:sz w:val="22"/>
          <w:szCs w:val="22"/>
        </w:rPr>
        <w:t xml:space="preserve"> (in collaboration with The Doherty Institute)</w:t>
      </w:r>
    </w:p>
    <w:p w14:paraId="00393E0B" w14:textId="77777777" w:rsidR="007E32E1" w:rsidRPr="002713B7" w:rsidRDefault="007E32E1" w:rsidP="007E32E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>biomarkers of treatment response (including immunological profiling)</w:t>
      </w:r>
    </w:p>
    <w:p w14:paraId="2F0DD6EE" w14:textId="403E700F" w:rsidR="007E32E1" w:rsidRPr="002713B7" w:rsidRDefault="007E32E1" w:rsidP="007E32E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>cognitive profiling</w:t>
      </w:r>
      <w:r w:rsidR="00BE3522" w:rsidRPr="002713B7">
        <w:rPr>
          <w:rFonts w:ascii="Candara" w:hAnsi="Candara"/>
          <w:sz w:val="22"/>
          <w:szCs w:val="22"/>
        </w:rPr>
        <w:t xml:space="preserve"> (in collaboration with the Cognitive Neuroimmunology team)</w:t>
      </w:r>
    </w:p>
    <w:p w14:paraId="40FB4560" w14:textId="1ACDA318" w:rsidR="007E32E1" w:rsidRPr="002713B7" w:rsidRDefault="007E32E1" w:rsidP="007E32E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 xml:space="preserve">clinical outcomes research and </w:t>
      </w:r>
      <w:r w:rsidR="00ED6816" w:rsidRPr="002713B7">
        <w:rPr>
          <w:rFonts w:ascii="Candara" w:hAnsi="Candara"/>
          <w:sz w:val="22"/>
          <w:szCs w:val="22"/>
        </w:rPr>
        <w:t>biostatistics</w:t>
      </w:r>
      <w:r w:rsidR="00BE3522" w:rsidRPr="002713B7">
        <w:rPr>
          <w:rFonts w:ascii="Candara" w:hAnsi="Candara"/>
          <w:sz w:val="22"/>
          <w:szCs w:val="22"/>
        </w:rPr>
        <w:t xml:space="preserve"> (in collaboration with CORe)</w:t>
      </w:r>
    </w:p>
    <w:p w14:paraId="2C1EEE73" w14:textId="5AB0BD5E" w:rsidR="005E080D" w:rsidRPr="002713B7" w:rsidRDefault="00A45CA8" w:rsidP="002713B7">
      <w:pPr>
        <w:pStyle w:val="NormalWeb"/>
        <w:spacing w:before="120" w:beforeAutospacing="0" w:after="120" w:afterAutospacing="0"/>
        <w:jc w:val="both"/>
        <w:rPr>
          <w:sz w:val="22"/>
          <w:szCs w:val="22"/>
        </w:rPr>
      </w:pPr>
      <w:r w:rsidRPr="002713B7">
        <w:rPr>
          <w:rFonts w:ascii="Candara" w:hAnsi="Candara"/>
          <w:sz w:val="22"/>
          <w:szCs w:val="22"/>
        </w:rPr>
        <w:t>The fellowship</w:t>
      </w:r>
      <w:r w:rsidR="00BE3522" w:rsidRPr="002713B7">
        <w:rPr>
          <w:rFonts w:ascii="Candara" w:hAnsi="Candara"/>
          <w:sz w:val="22"/>
          <w:szCs w:val="22"/>
        </w:rPr>
        <w:t>s</w:t>
      </w:r>
      <w:r w:rsidRPr="002713B7">
        <w:rPr>
          <w:rFonts w:ascii="Candara" w:hAnsi="Candara"/>
          <w:sz w:val="22"/>
          <w:szCs w:val="22"/>
        </w:rPr>
        <w:t xml:space="preserve"> </w:t>
      </w:r>
      <w:r w:rsidR="00BE3522" w:rsidRPr="002713B7">
        <w:rPr>
          <w:rFonts w:ascii="Candara" w:hAnsi="Candara"/>
          <w:sz w:val="22"/>
          <w:szCs w:val="22"/>
        </w:rPr>
        <w:t>are</w:t>
      </w:r>
      <w:r w:rsidRPr="002713B7">
        <w:rPr>
          <w:rFonts w:ascii="Candara" w:hAnsi="Candara"/>
          <w:sz w:val="22"/>
          <w:szCs w:val="22"/>
        </w:rPr>
        <w:t xml:space="preserve"> suitable for Australian or </w:t>
      </w:r>
      <w:r w:rsidR="00BE3522" w:rsidRPr="002713B7">
        <w:rPr>
          <w:rFonts w:ascii="Candara" w:hAnsi="Candara"/>
          <w:sz w:val="22"/>
          <w:szCs w:val="22"/>
        </w:rPr>
        <w:t>international applicants</w:t>
      </w:r>
      <w:r w:rsidRPr="002713B7">
        <w:rPr>
          <w:rFonts w:ascii="Candara" w:hAnsi="Candara"/>
          <w:sz w:val="22"/>
          <w:szCs w:val="22"/>
        </w:rPr>
        <w:t xml:space="preserve"> with valid registration in Australia</w:t>
      </w:r>
      <w:r w:rsidR="002713B7">
        <w:rPr>
          <w:rFonts w:ascii="Candara" w:hAnsi="Candara"/>
          <w:sz w:val="22"/>
          <w:szCs w:val="22"/>
        </w:rPr>
        <w:t>. Preference will be given to applicants</w:t>
      </w:r>
      <w:r w:rsidRPr="002713B7">
        <w:rPr>
          <w:rFonts w:ascii="Candara" w:hAnsi="Candara"/>
          <w:sz w:val="22"/>
          <w:szCs w:val="22"/>
        </w:rPr>
        <w:t xml:space="preserve">, who </w:t>
      </w:r>
      <w:r w:rsidR="00CC0F6F" w:rsidRPr="002713B7">
        <w:rPr>
          <w:rFonts w:ascii="Candara" w:hAnsi="Candara"/>
          <w:sz w:val="22"/>
          <w:szCs w:val="22"/>
        </w:rPr>
        <w:t>have</w:t>
      </w:r>
      <w:r w:rsidRPr="002713B7">
        <w:rPr>
          <w:rFonts w:ascii="Candara" w:hAnsi="Candara"/>
          <w:sz w:val="22"/>
          <w:szCs w:val="22"/>
        </w:rPr>
        <w:t xml:space="preserve"> completed core years of neurology training. </w:t>
      </w:r>
      <w:r w:rsidR="005E080D" w:rsidRPr="002713B7">
        <w:rPr>
          <w:rFonts w:ascii="Candara" w:hAnsi="Candara"/>
          <w:sz w:val="22"/>
          <w:szCs w:val="22"/>
        </w:rPr>
        <w:t>For candidates with interest in building an academic clinical career, the fellowship can be extended into a PhD project.</w:t>
      </w:r>
    </w:p>
    <w:p w14:paraId="55476494" w14:textId="3FFF7F7D" w:rsidR="00A45CA8" w:rsidRPr="002713B7" w:rsidRDefault="00A45CA8" w:rsidP="002713B7">
      <w:pPr>
        <w:pStyle w:val="NormalWeb"/>
        <w:spacing w:before="0" w:beforeAutospacing="0" w:after="0" w:afterAutospacing="0"/>
        <w:rPr>
          <w:rFonts w:ascii="Candara" w:hAnsi="Candara"/>
          <w:b/>
          <w:bCs/>
          <w:color w:val="02337A"/>
          <w:sz w:val="22"/>
          <w:szCs w:val="22"/>
        </w:rPr>
      </w:pPr>
      <w:r w:rsidRPr="002713B7">
        <w:rPr>
          <w:rFonts w:ascii="Candara" w:hAnsi="Candara"/>
          <w:b/>
          <w:bCs/>
          <w:color w:val="02337A"/>
          <w:sz w:val="22"/>
          <w:szCs w:val="22"/>
        </w:rPr>
        <w:t>Applications will open in April 202</w:t>
      </w:r>
      <w:r w:rsidR="00CC0F6F" w:rsidRPr="002713B7">
        <w:rPr>
          <w:rFonts w:ascii="Candara" w:hAnsi="Candara"/>
          <w:b/>
          <w:bCs/>
          <w:color w:val="02337A"/>
          <w:sz w:val="22"/>
          <w:szCs w:val="22"/>
        </w:rPr>
        <w:t>3</w:t>
      </w:r>
      <w:r w:rsidRPr="002713B7">
        <w:rPr>
          <w:rFonts w:ascii="Candara" w:hAnsi="Candara"/>
          <w:b/>
          <w:bCs/>
          <w:color w:val="02337A"/>
          <w:sz w:val="22"/>
          <w:szCs w:val="22"/>
        </w:rPr>
        <w:t xml:space="preserve"> (</w:t>
      </w:r>
      <w:hyperlink r:id="rId9" w:history="1">
        <w:r w:rsidRPr="002713B7">
          <w:rPr>
            <w:rStyle w:val="Hyperlink"/>
            <w:rFonts w:ascii="Candara" w:hAnsi="Candara"/>
            <w:b/>
            <w:bCs/>
            <w:sz w:val="22"/>
            <w:szCs w:val="22"/>
          </w:rPr>
          <w:t>https://melbournehealth.mercury.com.au/Default.aspx</w:t>
        </w:r>
      </w:hyperlink>
      <w:r w:rsidRPr="002713B7">
        <w:rPr>
          <w:rFonts w:ascii="Candara" w:hAnsi="Candara"/>
          <w:b/>
          <w:bCs/>
          <w:color w:val="02337A"/>
          <w:sz w:val="22"/>
          <w:szCs w:val="22"/>
        </w:rPr>
        <w:t xml:space="preserve">). </w:t>
      </w:r>
    </w:p>
    <w:p w14:paraId="6065C65E" w14:textId="040B1F6B" w:rsidR="005748D5" w:rsidRPr="002713B7" w:rsidRDefault="00A45CA8" w:rsidP="002713B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13B7">
        <w:rPr>
          <w:rFonts w:ascii="Candara" w:hAnsi="Candara"/>
          <w:b/>
          <w:bCs/>
          <w:color w:val="02337A"/>
          <w:sz w:val="22"/>
          <w:szCs w:val="22"/>
        </w:rPr>
        <w:t xml:space="preserve">Enquiries: Tomas Kalincik, email: tomas.kalincik@unimelb.edu.au  </w:t>
      </w:r>
      <w:bookmarkEnd w:id="1"/>
    </w:p>
    <w:sectPr w:rsidR="005748D5" w:rsidRPr="002713B7" w:rsidSect="000C7BC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CB8"/>
    <w:multiLevelType w:val="hybridMultilevel"/>
    <w:tmpl w:val="8C06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3CB"/>
    <w:multiLevelType w:val="multilevel"/>
    <w:tmpl w:val="5FA6F978"/>
    <w:lvl w:ilvl="0">
      <w:start w:val="25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664324E"/>
    <w:multiLevelType w:val="hybridMultilevel"/>
    <w:tmpl w:val="263666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B7199"/>
    <w:multiLevelType w:val="hybridMultilevel"/>
    <w:tmpl w:val="96DAA7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2912"/>
    <w:multiLevelType w:val="hybridMultilevel"/>
    <w:tmpl w:val="D0A8482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4065"/>
    <w:multiLevelType w:val="hybridMultilevel"/>
    <w:tmpl w:val="55201F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EF"/>
    <w:rsid w:val="000004FA"/>
    <w:rsid w:val="00043F4C"/>
    <w:rsid w:val="000D664E"/>
    <w:rsid w:val="00203991"/>
    <w:rsid w:val="00210581"/>
    <w:rsid w:val="002713B7"/>
    <w:rsid w:val="002E129F"/>
    <w:rsid w:val="00347A53"/>
    <w:rsid w:val="003F7145"/>
    <w:rsid w:val="00471B1A"/>
    <w:rsid w:val="005748D5"/>
    <w:rsid w:val="00584309"/>
    <w:rsid w:val="005E080D"/>
    <w:rsid w:val="005E3CE7"/>
    <w:rsid w:val="006212F6"/>
    <w:rsid w:val="006E3327"/>
    <w:rsid w:val="006F316E"/>
    <w:rsid w:val="007205BD"/>
    <w:rsid w:val="00722A9F"/>
    <w:rsid w:val="00790E1C"/>
    <w:rsid w:val="007E01B8"/>
    <w:rsid w:val="007E32E1"/>
    <w:rsid w:val="00834982"/>
    <w:rsid w:val="008E1A15"/>
    <w:rsid w:val="00974D92"/>
    <w:rsid w:val="009E7701"/>
    <w:rsid w:val="00A26A02"/>
    <w:rsid w:val="00A45CA8"/>
    <w:rsid w:val="00A70CB0"/>
    <w:rsid w:val="00A71B11"/>
    <w:rsid w:val="00A81E78"/>
    <w:rsid w:val="00BE3522"/>
    <w:rsid w:val="00BE543A"/>
    <w:rsid w:val="00BE5F1E"/>
    <w:rsid w:val="00C5198E"/>
    <w:rsid w:val="00C65EC2"/>
    <w:rsid w:val="00CC0F6F"/>
    <w:rsid w:val="00CE4663"/>
    <w:rsid w:val="00D17863"/>
    <w:rsid w:val="00D26890"/>
    <w:rsid w:val="00DC7021"/>
    <w:rsid w:val="00E216B6"/>
    <w:rsid w:val="00E438F7"/>
    <w:rsid w:val="00E729EF"/>
    <w:rsid w:val="00ED6816"/>
    <w:rsid w:val="00F151D4"/>
    <w:rsid w:val="00F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6D0D"/>
  <w15:chartTrackingRefBased/>
  <w15:docId w15:val="{D0DEF55C-53A1-4977-BB22-B1823935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48D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ahoma" w:eastAsia="Times New Roman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8D5"/>
    <w:rPr>
      <w:rFonts w:ascii="Tahoma" w:eastAsia="Times New Roman" w:hAnsi="Tahoma" w:cs="Tahoma"/>
      <w:b/>
      <w:bCs/>
      <w:sz w:val="19"/>
      <w:szCs w:val="19"/>
    </w:rPr>
  </w:style>
  <w:style w:type="paragraph" w:styleId="Header">
    <w:name w:val="header"/>
    <w:basedOn w:val="Normal"/>
    <w:link w:val="HeaderChar"/>
    <w:rsid w:val="005748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748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E1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tect-au.mimecast.com/s/by0-Cp8AxKsnprzD8cPDsN1?domain=melbournehealth.mercur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Mcfarlane</dc:creator>
  <cp:keywords/>
  <dc:description/>
  <cp:lastModifiedBy>ANZAN Members</cp:lastModifiedBy>
  <cp:revision>2</cp:revision>
  <cp:lastPrinted>2017-09-20T23:54:00Z</cp:lastPrinted>
  <dcterms:created xsi:type="dcterms:W3CDTF">2022-09-19T03:11:00Z</dcterms:created>
  <dcterms:modified xsi:type="dcterms:W3CDTF">2022-09-19T03:11:00Z</dcterms:modified>
</cp:coreProperties>
</file>